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FB" w:rsidRDefault="00D245FB" w:rsidP="00D245FB">
      <w:pPr>
        <w:rPr>
          <w:rFonts w:ascii="Times New Roman" w:hAnsi="Times New Roman" w:cs="Times New Roman"/>
          <w:b/>
          <w:sz w:val="28"/>
          <w:szCs w:val="28"/>
        </w:rPr>
      </w:pPr>
      <w:r>
        <w:rPr>
          <w:rFonts w:ascii="Times New Roman" w:hAnsi="Times New Roman" w:cs="Times New Roman"/>
          <w:b/>
          <w:sz w:val="28"/>
          <w:szCs w:val="28"/>
        </w:rPr>
        <w:t>PHỤ LỤC</w:t>
      </w:r>
    </w:p>
    <w:p w:rsidR="00DC3D16" w:rsidRDefault="00D245FB" w:rsidP="00D245FB">
      <w:pPr>
        <w:spacing w:after="0" w:line="240" w:lineRule="auto"/>
        <w:jc w:val="center"/>
        <w:rPr>
          <w:rFonts w:ascii="Times New Roman" w:hAnsi="Times New Roman" w:cs="Times New Roman"/>
          <w:b/>
          <w:sz w:val="28"/>
          <w:szCs w:val="28"/>
        </w:rPr>
      </w:pPr>
      <w:r w:rsidRPr="00D245FB">
        <w:rPr>
          <w:rFonts w:ascii="Times New Roman" w:hAnsi="Times New Roman" w:cs="Times New Roman"/>
          <w:b/>
          <w:sz w:val="28"/>
          <w:szCs w:val="28"/>
        </w:rPr>
        <w:t>NỘI DUNG CÔNG VIỆC</w:t>
      </w:r>
    </w:p>
    <w:p w:rsidR="00D245FB" w:rsidRDefault="00D245FB" w:rsidP="00D245FB">
      <w:pPr>
        <w:keepNext/>
        <w:spacing w:after="0" w:line="240" w:lineRule="auto"/>
        <w:jc w:val="center"/>
        <w:rPr>
          <w:rFonts w:ascii="Times New Roman" w:hAnsi="Times New Roman"/>
          <w:b/>
          <w:sz w:val="28"/>
          <w:szCs w:val="28"/>
        </w:rPr>
      </w:pPr>
      <w:r w:rsidRPr="00165594">
        <w:rPr>
          <w:rFonts w:ascii="Times New Roman" w:hAnsi="Times New Roman"/>
          <w:i/>
          <w:sz w:val="26"/>
          <w:szCs w:val="26"/>
        </w:rPr>
        <w:t>(</w:t>
      </w:r>
      <w:r>
        <w:rPr>
          <w:rFonts w:ascii="Times New Roman" w:hAnsi="Times New Roman"/>
          <w:i/>
          <w:sz w:val="26"/>
          <w:szCs w:val="26"/>
        </w:rPr>
        <w:t>Phụ lụ</w:t>
      </w:r>
      <w:r w:rsidR="00AD3090">
        <w:rPr>
          <w:rFonts w:ascii="Times New Roman" w:hAnsi="Times New Roman"/>
          <w:i/>
          <w:sz w:val="26"/>
          <w:szCs w:val="26"/>
        </w:rPr>
        <w:t>c đính kèm yêu cầu báo giá ngày 29</w:t>
      </w:r>
      <w:r>
        <w:rPr>
          <w:rFonts w:ascii="Times New Roman" w:hAnsi="Times New Roman"/>
          <w:i/>
          <w:sz w:val="26"/>
          <w:szCs w:val="26"/>
        </w:rPr>
        <w:t xml:space="preserve"> tháng 4 năm 2025</w:t>
      </w:r>
      <w:r w:rsidRPr="00165594">
        <w:rPr>
          <w:rFonts w:ascii="Times New Roman" w:hAnsi="Times New Roman"/>
          <w:i/>
          <w:sz w:val="26"/>
          <w:szCs w:val="26"/>
        </w:rPr>
        <w:t>)</w:t>
      </w:r>
    </w:p>
    <w:p w:rsidR="00D245FB" w:rsidRDefault="00D245FB" w:rsidP="00D245FB">
      <w:pPr>
        <w:jc w:val="center"/>
        <w:rPr>
          <w:rFonts w:ascii="Times New Roman" w:hAnsi="Times New Roman" w:cs="Times New Roman"/>
          <w:b/>
          <w:sz w:val="28"/>
          <w:szCs w:val="28"/>
        </w:rPr>
      </w:pPr>
    </w:p>
    <w:tbl>
      <w:tblPr>
        <w:tblStyle w:val="TableGrid"/>
        <w:tblW w:w="10190" w:type="dxa"/>
        <w:tblLook w:val="04A0" w:firstRow="1" w:lastRow="0" w:firstColumn="1" w:lastColumn="0" w:noHBand="0" w:noVBand="1"/>
      </w:tblPr>
      <w:tblGrid>
        <w:gridCol w:w="793"/>
        <w:gridCol w:w="2888"/>
        <w:gridCol w:w="1310"/>
        <w:gridCol w:w="1264"/>
        <w:gridCol w:w="1537"/>
        <w:gridCol w:w="1559"/>
        <w:gridCol w:w="839"/>
      </w:tblGrid>
      <w:tr w:rsidR="00AD3090" w:rsidRPr="00D245FB" w:rsidTr="00AD3090">
        <w:tc>
          <w:tcPr>
            <w:tcW w:w="793" w:type="dxa"/>
          </w:tcPr>
          <w:p w:rsidR="00AD3090" w:rsidRPr="00D245FB" w:rsidRDefault="00AD3090" w:rsidP="00D245FB">
            <w:pPr>
              <w:jc w:val="center"/>
              <w:rPr>
                <w:rFonts w:ascii="Times New Roman" w:hAnsi="Times New Roman" w:cs="Times New Roman"/>
                <w:b/>
                <w:sz w:val="28"/>
                <w:szCs w:val="28"/>
              </w:rPr>
            </w:pPr>
            <w:r w:rsidRPr="00D245FB">
              <w:rPr>
                <w:rFonts w:ascii="Times New Roman" w:hAnsi="Times New Roman" w:cs="Times New Roman"/>
                <w:b/>
                <w:sz w:val="28"/>
                <w:szCs w:val="28"/>
              </w:rPr>
              <w:t>STT</w:t>
            </w:r>
          </w:p>
        </w:tc>
        <w:tc>
          <w:tcPr>
            <w:tcW w:w="2888" w:type="dxa"/>
          </w:tcPr>
          <w:p w:rsidR="00AD3090" w:rsidRPr="00D245FB" w:rsidRDefault="00AD3090" w:rsidP="00D245FB">
            <w:pPr>
              <w:jc w:val="center"/>
              <w:rPr>
                <w:rFonts w:ascii="Times New Roman" w:hAnsi="Times New Roman" w:cs="Times New Roman"/>
                <w:b/>
                <w:sz w:val="28"/>
                <w:szCs w:val="28"/>
              </w:rPr>
            </w:pPr>
            <w:r w:rsidRPr="00D245FB">
              <w:rPr>
                <w:rFonts w:ascii="Times New Roman" w:hAnsi="Times New Roman" w:cs="Times New Roman"/>
                <w:b/>
                <w:bCs/>
                <w:sz w:val="28"/>
                <w:szCs w:val="28"/>
              </w:rPr>
              <w:t>NỘI DUNG CÔNG VIỆC</w:t>
            </w:r>
          </w:p>
        </w:tc>
        <w:tc>
          <w:tcPr>
            <w:tcW w:w="1310" w:type="dxa"/>
          </w:tcPr>
          <w:p w:rsidR="00AD3090" w:rsidRPr="00D245FB" w:rsidRDefault="00AD3090" w:rsidP="00D245FB">
            <w:pPr>
              <w:jc w:val="center"/>
              <w:rPr>
                <w:rFonts w:ascii="Times New Roman" w:hAnsi="Times New Roman" w:cs="Times New Roman"/>
                <w:b/>
                <w:sz w:val="28"/>
                <w:szCs w:val="28"/>
              </w:rPr>
            </w:pPr>
            <w:r w:rsidRPr="00D245FB">
              <w:rPr>
                <w:rFonts w:ascii="Times New Roman" w:hAnsi="Times New Roman" w:cs="Times New Roman"/>
                <w:b/>
                <w:bCs/>
                <w:sz w:val="28"/>
                <w:szCs w:val="28"/>
              </w:rPr>
              <w:t>ĐƠN VỊ TÍNH</w:t>
            </w:r>
          </w:p>
        </w:tc>
        <w:tc>
          <w:tcPr>
            <w:tcW w:w="1264" w:type="dxa"/>
          </w:tcPr>
          <w:p w:rsidR="00AD3090" w:rsidRPr="00D245FB" w:rsidRDefault="00AD3090" w:rsidP="00D245FB">
            <w:pPr>
              <w:jc w:val="center"/>
              <w:rPr>
                <w:rFonts w:ascii="Times New Roman" w:hAnsi="Times New Roman" w:cs="Times New Roman"/>
                <w:b/>
                <w:sz w:val="28"/>
                <w:szCs w:val="28"/>
              </w:rPr>
            </w:pPr>
            <w:r w:rsidRPr="00D245FB">
              <w:rPr>
                <w:rFonts w:ascii="Times New Roman" w:hAnsi="Times New Roman" w:cs="Times New Roman"/>
                <w:b/>
                <w:bCs/>
                <w:sz w:val="28"/>
                <w:szCs w:val="28"/>
              </w:rPr>
              <w:t>SỐ LƯỢNG</w:t>
            </w:r>
          </w:p>
        </w:tc>
        <w:tc>
          <w:tcPr>
            <w:tcW w:w="1537" w:type="dxa"/>
          </w:tcPr>
          <w:p w:rsidR="00AD3090" w:rsidRPr="00D245FB" w:rsidRDefault="00AD3090" w:rsidP="00D245FB">
            <w:pPr>
              <w:jc w:val="center"/>
              <w:rPr>
                <w:rFonts w:ascii="Times New Roman" w:hAnsi="Times New Roman" w:cs="Times New Roman"/>
                <w:b/>
                <w:bCs/>
                <w:sz w:val="28"/>
                <w:szCs w:val="28"/>
              </w:rPr>
            </w:pPr>
            <w:r>
              <w:rPr>
                <w:rFonts w:ascii="Times New Roman" w:hAnsi="Times New Roman" w:cs="Times New Roman"/>
                <w:b/>
                <w:bCs/>
                <w:sz w:val="28"/>
                <w:szCs w:val="28"/>
              </w:rPr>
              <w:t>ĐƠN GIÁ</w:t>
            </w:r>
          </w:p>
        </w:tc>
        <w:tc>
          <w:tcPr>
            <w:tcW w:w="1559" w:type="dxa"/>
          </w:tcPr>
          <w:p w:rsidR="00AD3090" w:rsidRPr="00D245FB" w:rsidRDefault="00AD3090" w:rsidP="00D245FB">
            <w:pPr>
              <w:jc w:val="center"/>
              <w:rPr>
                <w:rFonts w:ascii="Times New Roman" w:hAnsi="Times New Roman" w:cs="Times New Roman"/>
                <w:b/>
                <w:bCs/>
                <w:sz w:val="28"/>
                <w:szCs w:val="28"/>
              </w:rPr>
            </w:pPr>
            <w:r>
              <w:rPr>
                <w:rFonts w:ascii="Times New Roman" w:hAnsi="Times New Roman" w:cs="Times New Roman"/>
                <w:b/>
                <w:bCs/>
                <w:sz w:val="28"/>
                <w:szCs w:val="28"/>
              </w:rPr>
              <w:t>THÀNH TIỀN</w:t>
            </w:r>
          </w:p>
        </w:tc>
        <w:tc>
          <w:tcPr>
            <w:tcW w:w="839" w:type="dxa"/>
          </w:tcPr>
          <w:p w:rsidR="00AD3090" w:rsidRPr="00D245FB" w:rsidRDefault="00AD3090" w:rsidP="00D245FB">
            <w:pPr>
              <w:jc w:val="center"/>
              <w:rPr>
                <w:rFonts w:ascii="Times New Roman" w:hAnsi="Times New Roman" w:cs="Times New Roman"/>
                <w:b/>
                <w:bCs/>
                <w:sz w:val="28"/>
                <w:szCs w:val="28"/>
              </w:rPr>
            </w:pPr>
            <w:r>
              <w:rPr>
                <w:rFonts w:ascii="Times New Roman" w:hAnsi="Times New Roman" w:cs="Times New Roman"/>
                <w:b/>
                <w:bCs/>
                <w:sz w:val="28"/>
                <w:szCs w:val="28"/>
              </w:rPr>
              <w:t>GHI CHÚ</w:t>
            </w:r>
          </w:p>
        </w:tc>
      </w:tr>
      <w:tr w:rsidR="00AD3090" w:rsidRPr="00D245FB" w:rsidTr="00AD3090">
        <w:tc>
          <w:tcPr>
            <w:tcW w:w="793" w:type="dxa"/>
            <w:vAlign w:val="center"/>
          </w:tcPr>
          <w:p w:rsidR="00AD3090" w:rsidRPr="00D245FB" w:rsidRDefault="00AD3090" w:rsidP="002D7BCD">
            <w:pPr>
              <w:jc w:val="center"/>
              <w:rPr>
                <w:rFonts w:ascii="Times New Roman" w:hAnsi="Times New Roman" w:cs="Times New Roman"/>
                <w:sz w:val="28"/>
                <w:szCs w:val="28"/>
              </w:rPr>
            </w:pPr>
            <w:r w:rsidRPr="00D245FB">
              <w:rPr>
                <w:rFonts w:ascii="Times New Roman" w:hAnsi="Times New Roman" w:cs="Times New Roman"/>
                <w:sz w:val="28"/>
                <w:szCs w:val="28"/>
              </w:rPr>
              <w:t>1</w:t>
            </w:r>
          </w:p>
        </w:tc>
        <w:tc>
          <w:tcPr>
            <w:tcW w:w="2888" w:type="dxa"/>
          </w:tcPr>
          <w:p w:rsidR="00AD3090" w:rsidRPr="00D245FB" w:rsidRDefault="00AD3090" w:rsidP="002D7BCD">
            <w:pPr>
              <w:spacing w:before="120" w:after="120"/>
              <w:jc w:val="both"/>
              <w:rPr>
                <w:rFonts w:ascii="Times New Roman" w:hAnsi="Times New Roman" w:cs="Times New Roman"/>
                <w:sz w:val="28"/>
                <w:szCs w:val="28"/>
              </w:rPr>
            </w:pPr>
            <w:r w:rsidRPr="00D245FB">
              <w:rPr>
                <w:rFonts w:ascii="Times New Roman" w:hAnsi="Times New Roman" w:cs="Times New Roman"/>
                <w:bCs/>
                <w:sz w:val="28"/>
                <w:szCs w:val="28"/>
              </w:rPr>
              <w:t>Lập báo cáo đề xuất cấp giấy phép môi trường</w:t>
            </w:r>
            <w:r>
              <w:rPr>
                <w:rFonts w:ascii="Times New Roman" w:hAnsi="Times New Roman" w:cs="Times New Roman"/>
                <w:bCs/>
                <w:sz w:val="28"/>
                <w:szCs w:val="28"/>
              </w:rPr>
              <w:t xml:space="preserve"> cho Bệnh viện Sản Nhi tỉnh Hậu Giang.</w:t>
            </w:r>
          </w:p>
        </w:tc>
        <w:tc>
          <w:tcPr>
            <w:tcW w:w="1310" w:type="dxa"/>
            <w:vAlign w:val="center"/>
          </w:tcPr>
          <w:p w:rsidR="00AD3090" w:rsidRPr="00D245FB" w:rsidRDefault="00AD3090" w:rsidP="002D7BCD">
            <w:pPr>
              <w:jc w:val="center"/>
              <w:rPr>
                <w:rFonts w:ascii="Times New Roman" w:hAnsi="Times New Roman" w:cs="Times New Roman"/>
                <w:sz w:val="28"/>
                <w:szCs w:val="28"/>
              </w:rPr>
            </w:pPr>
            <w:r w:rsidRPr="00D245FB">
              <w:rPr>
                <w:rFonts w:ascii="Times New Roman" w:hAnsi="Times New Roman" w:cs="Times New Roman"/>
                <w:sz w:val="28"/>
                <w:szCs w:val="28"/>
              </w:rPr>
              <w:t>Gói</w:t>
            </w:r>
          </w:p>
        </w:tc>
        <w:tc>
          <w:tcPr>
            <w:tcW w:w="1264" w:type="dxa"/>
            <w:vAlign w:val="center"/>
          </w:tcPr>
          <w:p w:rsidR="00AD3090" w:rsidRPr="00D245FB" w:rsidRDefault="00AD3090" w:rsidP="002D7BCD">
            <w:pPr>
              <w:jc w:val="center"/>
              <w:rPr>
                <w:rFonts w:ascii="Times New Roman" w:hAnsi="Times New Roman" w:cs="Times New Roman"/>
                <w:sz w:val="28"/>
                <w:szCs w:val="28"/>
              </w:rPr>
            </w:pPr>
            <w:r w:rsidRPr="00D245FB">
              <w:rPr>
                <w:rFonts w:ascii="Times New Roman" w:hAnsi="Times New Roman" w:cs="Times New Roman"/>
                <w:sz w:val="28"/>
                <w:szCs w:val="28"/>
              </w:rPr>
              <w:t>01</w:t>
            </w:r>
          </w:p>
        </w:tc>
        <w:tc>
          <w:tcPr>
            <w:tcW w:w="1537" w:type="dxa"/>
          </w:tcPr>
          <w:p w:rsidR="00AD3090" w:rsidRPr="00D245FB" w:rsidRDefault="00AD3090" w:rsidP="002D7BCD">
            <w:pPr>
              <w:jc w:val="center"/>
              <w:rPr>
                <w:rFonts w:ascii="Times New Roman" w:hAnsi="Times New Roman" w:cs="Times New Roman"/>
                <w:sz w:val="28"/>
                <w:szCs w:val="28"/>
              </w:rPr>
            </w:pPr>
          </w:p>
        </w:tc>
        <w:tc>
          <w:tcPr>
            <w:tcW w:w="1559" w:type="dxa"/>
          </w:tcPr>
          <w:p w:rsidR="00AD3090" w:rsidRPr="00D245FB" w:rsidRDefault="00AD3090" w:rsidP="002D7BCD">
            <w:pPr>
              <w:jc w:val="center"/>
              <w:rPr>
                <w:rFonts w:ascii="Times New Roman" w:hAnsi="Times New Roman" w:cs="Times New Roman"/>
                <w:sz w:val="28"/>
                <w:szCs w:val="28"/>
              </w:rPr>
            </w:pPr>
          </w:p>
        </w:tc>
        <w:tc>
          <w:tcPr>
            <w:tcW w:w="839" w:type="dxa"/>
          </w:tcPr>
          <w:p w:rsidR="00AD3090" w:rsidRPr="00D245FB" w:rsidRDefault="00AD3090" w:rsidP="002D7BCD">
            <w:pPr>
              <w:jc w:val="center"/>
              <w:rPr>
                <w:rFonts w:ascii="Times New Roman" w:hAnsi="Times New Roman" w:cs="Times New Roman"/>
                <w:sz w:val="28"/>
                <w:szCs w:val="28"/>
              </w:rPr>
            </w:pPr>
          </w:p>
        </w:tc>
      </w:tr>
      <w:tr w:rsidR="00AD3090" w:rsidRPr="00D245FB" w:rsidTr="00AD3090">
        <w:trPr>
          <w:trHeight w:val="567"/>
        </w:trPr>
        <w:tc>
          <w:tcPr>
            <w:tcW w:w="7792" w:type="dxa"/>
            <w:gridSpan w:val="5"/>
            <w:vAlign w:val="center"/>
          </w:tcPr>
          <w:p w:rsidR="00AD3090" w:rsidRPr="00AD3090" w:rsidRDefault="00AD3090" w:rsidP="002D7BCD">
            <w:pPr>
              <w:jc w:val="center"/>
              <w:rPr>
                <w:rFonts w:ascii="Times New Roman" w:hAnsi="Times New Roman" w:cs="Times New Roman"/>
                <w:b/>
                <w:sz w:val="28"/>
                <w:szCs w:val="28"/>
              </w:rPr>
            </w:pPr>
            <w:r w:rsidRPr="00AD3090">
              <w:rPr>
                <w:rFonts w:ascii="Times New Roman" w:hAnsi="Times New Roman" w:cs="Times New Roman"/>
                <w:b/>
                <w:sz w:val="28"/>
                <w:szCs w:val="28"/>
              </w:rPr>
              <w:t>Tổng cộng</w:t>
            </w:r>
          </w:p>
        </w:tc>
        <w:tc>
          <w:tcPr>
            <w:tcW w:w="1559" w:type="dxa"/>
          </w:tcPr>
          <w:p w:rsidR="00AD3090" w:rsidRPr="00D245FB" w:rsidRDefault="00AD3090" w:rsidP="002D7BCD">
            <w:pPr>
              <w:jc w:val="center"/>
              <w:rPr>
                <w:rFonts w:ascii="Times New Roman" w:hAnsi="Times New Roman" w:cs="Times New Roman"/>
                <w:sz w:val="28"/>
                <w:szCs w:val="28"/>
              </w:rPr>
            </w:pPr>
          </w:p>
        </w:tc>
        <w:tc>
          <w:tcPr>
            <w:tcW w:w="839" w:type="dxa"/>
          </w:tcPr>
          <w:p w:rsidR="00AD3090" w:rsidRPr="00D245FB" w:rsidRDefault="00AD3090" w:rsidP="002D7BCD">
            <w:pPr>
              <w:jc w:val="center"/>
              <w:rPr>
                <w:rFonts w:ascii="Times New Roman" w:hAnsi="Times New Roman" w:cs="Times New Roman"/>
                <w:sz w:val="28"/>
                <w:szCs w:val="28"/>
              </w:rPr>
            </w:pPr>
          </w:p>
        </w:tc>
      </w:tr>
      <w:tr w:rsidR="00AD3090" w:rsidRPr="00D245FB" w:rsidTr="00FC23F0">
        <w:trPr>
          <w:trHeight w:val="567"/>
        </w:trPr>
        <w:tc>
          <w:tcPr>
            <w:tcW w:w="10190" w:type="dxa"/>
            <w:gridSpan w:val="7"/>
            <w:vAlign w:val="center"/>
          </w:tcPr>
          <w:p w:rsidR="00AD3090" w:rsidRPr="00D245FB" w:rsidRDefault="00AD3090" w:rsidP="00AD3090">
            <w:pPr>
              <w:rPr>
                <w:rFonts w:ascii="Times New Roman" w:hAnsi="Times New Roman" w:cs="Times New Roman"/>
                <w:sz w:val="28"/>
                <w:szCs w:val="28"/>
              </w:rPr>
            </w:pPr>
            <w:r>
              <w:rPr>
                <w:rFonts w:ascii="Times New Roman" w:hAnsi="Times New Roman" w:cs="Times New Roman"/>
                <w:b/>
                <w:sz w:val="28"/>
                <w:szCs w:val="28"/>
              </w:rPr>
              <w:t xml:space="preserve">Số tiền bằng chữ: </w:t>
            </w:r>
          </w:p>
        </w:tc>
      </w:tr>
    </w:tbl>
    <w:p w:rsidR="00AD3090" w:rsidRDefault="00AD3090" w:rsidP="00AD3090">
      <w:pPr>
        <w:tabs>
          <w:tab w:val="left" w:pos="1206"/>
        </w:tabs>
        <w:rPr>
          <w:rFonts w:ascii="Times New Roman" w:hAnsi="Times New Roman" w:cs="Times New Roman"/>
          <w:b/>
          <w:sz w:val="28"/>
          <w:szCs w:val="28"/>
        </w:rPr>
      </w:pPr>
    </w:p>
    <w:p w:rsidR="00AD3090" w:rsidRPr="00AD3090" w:rsidRDefault="00AD3090" w:rsidP="00AD3090">
      <w:pPr>
        <w:tabs>
          <w:tab w:val="left" w:pos="1206"/>
        </w:tabs>
        <w:rPr>
          <w:rFonts w:ascii="Times New Roman" w:hAnsi="Times New Roman" w:cs="Times New Roman"/>
          <w:sz w:val="28"/>
          <w:szCs w:val="28"/>
        </w:rPr>
      </w:pPr>
      <w:r w:rsidRPr="00AD3090">
        <w:rPr>
          <w:rFonts w:ascii="Times New Roman" w:hAnsi="Times New Roman" w:cs="Times New Roman"/>
          <w:sz w:val="28"/>
          <w:szCs w:val="28"/>
        </w:rPr>
        <w:t>Thời hạn của báo giá: ……ngày</w:t>
      </w:r>
      <w:r w:rsidRPr="00AD3090">
        <w:rPr>
          <w:rFonts w:ascii="Times New Roman" w:hAnsi="Times New Roman" w:cs="Times New Roman"/>
          <w:sz w:val="28"/>
          <w:szCs w:val="28"/>
        </w:rPr>
        <w:tab/>
      </w:r>
    </w:p>
    <w:p w:rsidR="00D245FB" w:rsidRPr="00AD3090" w:rsidRDefault="00AD3090" w:rsidP="00AD3090">
      <w:pPr>
        <w:tabs>
          <w:tab w:val="left" w:pos="1206"/>
        </w:tabs>
        <w:rPr>
          <w:rFonts w:ascii="Times New Roman" w:hAnsi="Times New Roman" w:cs="Times New Roman"/>
          <w:b/>
          <w:i/>
          <w:sz w:val="28"/>
          <w:szCs w:val="28"/>
        </w:rPr>
      </w:pPr>
      <w:r w:rsidRPr="00AD3090">
        <w:rPr>
          <w:rFonts w:ascii="Times New Roman" w:hAnsi="Times New Roman" w:cs="Times New Roman"/>
          <w:b/>
          <w:i/>
          <w:sz w:val="28"/>
          <w:szCs w:val="28"/>
        </w:rPr>
        <w:t>Ghi chú: Giá trên bao gồm thuế VAT và các loại thuế phí khác</w:t>
      </w:r>
    </w:p>
    <w:p w:rsidR="00D245FB" w:rsidRDefault="00D245FB">
      <w:pPr>
        <w:rPr>
          <w:rFonts w:ascii="Times New Roman" w:hAnsi="Times New Roman" w:cs="Times New Roman"/>
          <w:b/>
          <w:sz w:val="28"/>
          <w:szCs w:val="28"/>
        </w:rPr>
      </w:pPr>
      <w:r>
        <w:rPr>
          <w:rFonts w:ascii="Times New Roman" w:hAnsi="Times New Roman" w:cs="Times New Roman"/>
          <w:b/>
          <w:sz w:val="28"/>
          <w:szCs w:val="28"/>
        </w:rPr>
        <w:br w:type="page"/>
      </w:r>
    </w:p>
    <w:p w:rsidR="00D245FB" w:rsidRDefault="00D245FB" w:rsidP="00D245FB">
      <w:pPr>
        <w:rPr>
          <w:rFonts w:ascii="Times New Roman" w:hAnsi="Times New Roman" w:cs="Times New Roman"/>
          <w:b/>
          <w:sz w:val="28"/>
          <w:szCs w:val="28"/>
        </w:rPr>
      </w:pPr>
      <w:r>
        <w:rPr>
          <w:rFonts w:ascii="Times New Roman" w:hAnsi="Times New Roman" w:cs="Times New Roman"/>
          <w:b/>
          <w:sz w:val="28"/>
          <w:szCs w:val="28"/>
        </w:rPr>
        <w:lastRenderedPageBreak/>
        <w:t>PHỤ LỤC</w:t>
      </w:r>
    </w:p>
    <w:p w:rsidR="00D245FB" w:rsidRPr="00D245FB" w:rsidRDefault="00D245FB" w:rsidP="00D245FB">
      <w:pPr>
        <w:keepNext/>
        <w:spacing w:after="0" w:line="240" w:lineRule="auto"/>
        <w:jc w:val="center"/>
        <w:rPr>
          <w:rFonts w:ascii="Times New Roman" w:hAnsi="Times New Roman" w:cs="Times New Roman"/>
          <w:b/>
          <w:sz w:val="28"/>
          <w:szCs w:val="28"/>
        </w:rPr>
      </w:pPr>
      <w:r w:rsidRPr="00D245FB">
        <w:rPr>
          <w:rFonts w:ascii="Times New Roman" w:hAnsi="Times New Roman" w:cs="Times New Roman"/>
          <w:b/>
          <w:sz w:val="28"/>
          <w:szCs w:val="28"/>
          <w:lang w:val="sv-SE"/>
        </w:rPr>
        <w:t>DANH MỤC CHI TIẾT NỘI DUNG CÔNG VIỆC</w:t>
      </w:r>
      <w:r w:rsidRPr="00D245FB">
        <w:rPr>
          <w:rFonts w:ascii="Times New Roman" w:hAnsi="Times New Roman" w:cs="Times New Roman"/>
          <w:b/>
          <w:sz w:val="28"/>
          <w:szCs w:val="28"/>
        </w:rPr>
        <w:t xml:space="preserve"> </w:t>
      </w:r>
    </w:p>
    <w:p w:rsidR="00AE46D1" w:rsidRDefault="00AD3090" w:rsidP="00AD3090">
      <w:pPr>
        <w:keepNext/>
        <w:spacing w:after="0" w:line="240" w:lineRule="auto"/>
        <w:jc w:val="center"/>
        <w:rPr>
          <w:rFonts w:ascii="Times New Roman" w:hAnsi="Times New Roman"/>
          <w:i/>
          <w:sz w:val="26"/>
          <w:szCs w:val="26"/>
        </w:rPr>
      </w:pPr>
      <w:r w:rsidRPr="00165594">
        <w:rPr>
          <w:rFonts w:ascii="Times New Roman" w:hAnsi="Times New Roman"/>
          <w:i/>
          <w:sz w:val="26"/>
          <w:szCs w:val="26"/>
        </w:rPr>
        <w:t>(</w:t>
      </w:r>
      <w:r>
        <w:rPr>
          <w:rFonts w:ascii="Times New Roman" w:hAnsi="Times New Roman"/>
          <w:i/>
          <w:sz w:val="26"/>
          <w:szCs w:val="26"/>
        </w:rPr>
        <w:t>Phụ lục đính kèm yêu cầu báo giá ngày 29 tháng 4 năm 2025</w:t>
      </w:r>
      <w:r w:rsidRPr="00165594">
        <w:rPr>
          <w:rFonts w:ascii="Times New Roman" w:hAnsi="Times New Roman"/>
          <w:i/>
          <w:sz w:val="26"/>
          <w:szCs w:val="26"/>
        </w:rPr>
        <w:t>)</w:t>
      </w:r>
    </w:p>
    <w:p w:rsidR="00AE46D1" w:rsidRDefault="00AE46D1" w:rsidP="00AD3090">
      <w:pPr>
        <w:keepNext/>
        <w:spacing w:after="0" w:line="240" w:lineRule="auto"/>
        <w:jc w:val="center"/>
        <w:rPr>
          <w:rFonts w:ascii="Times New Roman" w:hAnsi="Times New Roman"/>
          <w:i/>
          <w:sz w:val="26"/>
          <w:szCs w:val="26"/>
        </w:rPr>
      </w:pPr>
    </w:p>
    <w:tbl>
      <w:tblPr>
        <w:tblW w:w="108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922"/>
        <w:gridCol w:w="1340"/>
        <w:gridCol w:w="1189"/>
        <w:gridCol w:w="1386"/>
        <w:gridCol w:w="19"/>
        <w:gridCol w:w="1367"/>
        <w:gridCol w:w="19"/>
      </w:tblGrid>
      <w:tr w:rsidR="00AE46D1" w:rsidRPr="00133BB2" w:rsidTr="00AE46D1">
        <w:trPr>
          <w:gridAfter w:val="1"/>
          <w:wAfter w:w="19" w:type="dxa"/>
          <w:trHeight w:val="1000"/>
        </w:trPr>
        <w:tc>
          <w:tcPr>
            <w:tcW w:w="607" w:type="dxa"/>
            <w:shd w:val="clear" w:color="auto" w:fill="auto"/>
            <w:noWrap/>
            <w:vAlign w:val="center"/>
            <w:hideMark/>
          </w:tcPr>
          <w:p w:rsidR="00AE46D1" w:rsidRPr="00B73E8A" w:rsidRDefault="00AE46D1" w:rsidP="00CC6C23">
            <w:pPr>
              <w:spacing w:after="0" w:line="240" w:lineRule="auto"/>
              <w:jc w:val="center"/>
              <w:rPr>
                <w:rFonts w:ascii="Times New Roman" w:eastAsia="Times New Roman" w:hAnsi="Times New Roman" w:cs="Times New Roman"/>
                <w:b/>
                <w:color w:val="000000"/>
                <w:sz w:val="26"/>
                <w:szCs w:val="26"/>
              </w:rPr>
            </w:pPr>
            <w:r>
              <w:rPr>
                <w:rFonts w:ascii="Times New Roman" w:hAnsi="Times New Roman"/>
                <w:i/>
                <w:sz w:val="26"/>
                <w:szCs w:val="26"/>
              </w:rPr>
              <w:br w:type="page"/>
            </w:r>
            <w:r w:rsidRPr="00B73E8A">
              <w:rPr>
                <w:rFonts w:ascii="Times New Roman" w:eastAsia="Times New Roman" w:hAnsi="Times New Roman" w:cs="Times New Roman"/>
                <w:b/>
                <w:bCs/>
                <w:color w:val="000000"/>
                <w:sz w:val="26"/>
                <w:szCs w:val="26"/>
              </w:rPr>
              <w:t>TT</w:t>
            </w:r>
          </w:p>
        </w:tc>
        <w:tc>
          <w:tcPr>
            <w:tcW w:w="4922"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NỘI DUNG CÔNG VIỆC</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ĐƠN VỊ TÍNH</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SỐ LƯỢNG</w:t>
            </w:r>
          </w:p>
        </w:tc>
        <w:tc>
          <w:tcPr>
            <w:tcW w:w="1386"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ĐƠN GIÁ</w:t>
            </w:r>
          </w:p>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(đồng)</w:t>
            </w:r>
          </w:p>
        </w:tc>
        <w:tc>
          <w:tcPr>
            <w:tcW w:w="1386" w:type="dxa"/>
            <w:gridSpan w:val="2"/>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THÀNH TIỀN</w:t>
            </w:r>
          </w:p>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(đồng)</w:t>
            </w:r>
          </w:p>
        </w:tc>
      </w:tr>
      <w:tr w:rsidR="00AE46D1" w:rsidRPr="00133BB2" w:rsidTr="00AE46D1">
        <w:trPr>
          <w:gridAfter w:val="1"/>
          <w:wAfter w:w="19" w:type="dxa"/>
          <w:trHeight w:val="330"/>
        </w:trPr>
        <w:tc>
          <w:tcPr>
            <w:tcW w:w="607" w:type="dxa"/>
            <w:shd w:val="clear" w:color="000000" w:fill="FFFFFF"/>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000000" w:fill="FFFFFF"/>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1340" w:type="dxa"/>
            <w:shd w:val="clear" w:color="000000" w:fill="FFFFFF"/>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1189" w:type="dxa"/>
            <w:shd w:val="clear" w:color="000000" w:fill="FFFFFF"/>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4</w:t>
            </w:r>
          </w:p>
        </w:tc>
        <w:tc>
          <w:tcPr>
            <w:tcW w:w="1386" w:type="dxa"/>
            <w:shd w:val="clear" w:color="000000" w:fill="FFFFFF"/>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5</w:t>
            </w:r>
          </w:p>
        </w:tc>
        <w:tc>
          <w:tcPr>
            <w:tcW w:w="1386" w:type="dxa"/>
            <w:gridSpan w:val="2"/>
            <w:shd w:val="clear" w:color="000000" w:fill="FFFFFF"/>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6</w:t>
            </w: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4"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A</w:t>
            </w:r>
          </w:p>
        </w:tc>
        <w:tc>
          <w:tcPr>
            <w:tcW w:w="8856" w:type="dxa"/>
            <w:gridSpan w:val="5"/>
            <w:shd w:val="clear" w:color="auto" w:fill="auto"/>
            <w:vAlign w:val="center"/>
            <w:hideMark/>
          </w:tcPr>
          <w:p w:rsidR="00AE46D1" w:rsidRPr="00133BB2" w:rsidRDefault="00AE46D1" w:rsidP="00CC6C23">
            <w:pPr>
              <w:spacing w:after="0" w:line="244"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CHI PHÍ LẬP BÁO CÁO (A=I+II+III+……+VII)</w:t>
            </w:r>
          </w:p>
        </w:tc>
        <w:tc>
          <w:tcPr>
            <w:tcW w:w="1386" w:type="dxa"/>
            <w:gridSpan w:val="2"/>
            <w:shd w:val="clear" w:color="auto" w:fill="auto"/>
            <w:vAlign w:val="center"/>
          </w:tcPr>
          <w:p w:rsidR="00AE46D1" w:rsidRPr="00133BB2" w:rsidRDefault="00AE46D1" w:rsidP="00CC6C23">
            <w:pPr>
              <w:spacing w:after="0" w:line="244"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I</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I. THÔNG TIN CHUNG VỀ CƠ SỞ (I=1+2+3+4+5)</w:t>
            </w: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507"/>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Thông tin chung về Chủ cơ sở: Tên Chủ cơ sở; Địa chỉ văn phòng; Thông tin liên hệ; Giấy chứng nhận đầu tư/đăng ký kinh doanh,…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194"/>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Thông tin chung của Cơ sở: Tên cơ sở; Địa điểm cơ sở; Văn bản thẩm định thiết kế xây dựng, các loại giấy phép có liên quan đến môi trường, phê duyệt dự án (nếu có); Quyết định phê duyệt kết quả thẩm định báo cáo đánh giá tác động môi trường, các giấy phép môi trường thành phần; Quy mô của cơ sở (phân loại theo tiêu chí như dự án quy định tại Điều 25 Nghị định số 05/2025/NĐ-CP); Yếu tố nhạy cảm về môi trường quy định tại khoản 4 Điều 25 Nghị định số 05/2025/NĐ-CP; Loại hình sản xuất, kinh doanh, dịch vụ; Phân nhóm dự án đầu tư: (ghi rõ là nhóm I, nhóm II hoặc nhóm III)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suất, công nghệ, sản phẩm sản xuất của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23"/>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4</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pacing w:val="-4"/>
                <w:sz w:val="26"/>
                <w:szCs w:val="26"/>
              </w:rPr>
              <w:t>Nguyên liệu, nhiên liệu, vật liệu, phế liệu (loại phế liệu, mã HS, khối lượng phế liệu dự kiến nhập khẩu), điện năng, hóa chất sử dụng, nguồn cung cấp điện, nước của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5</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thông tin khác liên quan đến Cơ sở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447"/>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II</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II. SỰ PHÙ HỢP CỦA CƠ SỞ VỚI QUY HOẠCH, KHẢ NĂNG CHỊU TẢI CỦA MÔI TRƯỜNG (II=1+2)</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gridAfter w:val="1"/>
          <w:wAfter w:w="19" w:type="dxa"/>
          <w:trHeight w:val="66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Sự phù hợp của Cơ sở với quy hoạch bảo vệ môi trường quốc gia, quy hoạch tỉnh, phân vùng môi trường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56"/>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Sự phù hợp của Cơ sở đối với khả năng chịu tải của môi trường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69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lastRenderedPageBreak/>
              <w:t>III</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III. KẾT QUẢ HOÀN THÀNH CÁC CÔNG TRÌNH, BIỆN PHÁP BẢO VỆ MÔI TRƯỜNG CỦA CƠ SỞ (III=1+2+3+…+8)</w:t>
            </w: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Công trình, biện pháp thoát nước mưa, thu gom và xử lý nước thải:</w:t>
            </w: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Thu gom, thoát nước mưa</w:t>
            </w: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256"/>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Mô tả các biện pháp thu gom, thoát nước mưa khác </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Thu gom, thoát nước thải</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2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thu gom nước thải: Mô tả chi tiết từng thông số kỹ thuật cơ bản (kết cấu, kích thước, chiều dài,...) của từng tuyến thu gom nước thải sinh hoạt, nước thải y tế từ nguồn phát sinh dẫn về công trình xử lý nước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1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Điểm xả nước thải sau xử lý: Mô tả chi tiết vị trí xả nước thải; đánh giá sự đáp ứng yêu cầu kỹ thuật theo quy định đối với điểm xả nước thải/điểm đấu nối nước thải; nguồn tiếp nhận nước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5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Sơ đồ minh họa tổng thể mạng lưới thu gom, thoát nước thải nêu trên</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các biện pháp thu gom, thoát nước thải khác</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Xử lý nước thải</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26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w:t>
            </w:r>
            <w:r w:rsidRPr="00133BB2">
              <w:rPr>
                <w:rFonts w:ascii="Times New Roman" w:eastAsia="Times New Roman" w:hAnsi="Times New Roman" w:cs="Times New Roman"/>
                <w:color w:val="000000"/>
                <w:sz w:val="26"/>
                <w:szCs w:val="26"/>
              </w:rPr>
              <w:lastRenderedPageBreak/>
              <w:t>sử dụng cho quá trình vận hành; yêu cầu về quy chuẩn, tiêu chuẩn (nếu có) áp dụng đối với nước thải sau xử lý; CO/CQ của hệ thống thiết bị xử lý nước thải đồng bộ, hợp khối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27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Nông nghiệp và Môi trường địa phương để kiểm tra, giám sát</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7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các biện pháp xử lý nước thải khác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Công trình, biện pháp xử lý bụi, khí thải </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19"/>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65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24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Nông nghiệp và Môi trường địa phương để kiểm tra, giám sát</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các biện pháp xử lý bụi, khí thải khác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biện pháp lưu giữ, xử lý chất thải rắn thông thường</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99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564"/>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xử lý chất thải rắn công nghiệp thông thường tự phát sinh trong khuôn viên Cơ sở (nếu có): Mô tả chức năng, quy mô, công suất, công nghệ, các thông số kỹ thuật cơ bản kèm theo quy trình vận hành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5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Báo cáo về chủng loại, khối lượng chất thải rắn thông thường (rác thải sinh hoạt, chất thải rắn công nghiệp thông thường,…) phát sinh tại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các biện pháp lưu giữ, xử lý chất thải rắn thông thường khác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4</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biện pháp lưu giữ, xử lý chất thải nguy hại</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96"/>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Mô tả rõ từng công trình lưu giữ chất thải nguy hại, chất thải rắn y tế gồm: Mô tả chức năng, các thông số kỹ thuật cơ bản nhằm đáp ứng các yêu cầu về bảo vệ môi trường </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3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xử lý chất thải nguy hại tự phát sinh trong khuôn viên Cơ sở (nếu có): Mô tả chức năng, quy mô, công suất, công nghệ, các thông số kỹ thuật cơ bản kèm theo quy trình vận hành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Báo cáo về chủng loại, tổng khối lượng chất thải nguy hại, chất thải rắn y tế phát sinh tại cơ sở (kg/năm và kg/tháng)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8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các biện pháp lưu giữ, xử lý chất thải nguy hại khác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5</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Công trình, biện pháp giảm thiểu tiếng ồn, độ rung </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52"/>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công trình, biện pháp giảm thiểu tiếng ồn, độ rung của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1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Quy chuẩn, tiêu chuẩn áp dụng đối với tiếng ồn, độ rung của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6</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Phương án phòng ngừa, ứng phó sự cố môi trường </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219"/>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13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2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Mô tả biện pháp phòng ngừa, ứng phó sự cố môi trường khác (nếu có)</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848"/>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7</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Công trình, biện pháp bảo vệ môi trường khác (nếu có): Mô tả các công trình bảo vệ môi trường khác (nếu có), trong đó phải làm rõ chức năng, các thông số kỹ thuật cơ bản của công trình. Mô tả các biện pháp bảo vệ môi trường khác áp dụng đối với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8</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nội dung thay đổi so với quyết định phê duyệt kết quả thẩm định báo cáo đánh giá tác động môi trường:</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24"/>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Nêu rõ các nội dung thay đổi của Cơ sở so với quyết định phê duyệt kết quả thẩm định báo cáo đánh giá tác động môi trường nhưng chưa đến mức phải thực hiện đánh giá tác động động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96"/>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Đánh giá tác động đến môi trường từ việc thay đổi nội dung so với quyết định phê duyệt kết quả thẩm định báo cáo đánh giá tác động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68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IV</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IV. NỘI DUNG ĐỀ NGHỊ CẤP GIẤY PHÉP MÔI TRƯỜNG (IV=1+2+3)</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Nội dung đề nghị cấp phép đối với nước thải (nếu có):</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97"/>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Nguồn phát sinh nước thải: Nêu rõ từng nguồn phát sinh nước thải phải xử lý (sinh hoạt, y tế) và nguồn phát sinh nước thải không phải xử lý: Nguồn số 01, Nguồn số 02,…</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2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Lưu lượng xả nước thải tối đa: Nêu rõ lưu lượng xả nước thải tối đa đề nghị cấp phép</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0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Dòng nước thải: Nêu rõ số lượng dòng nước thải đề nghị cấp phép (là dòng nước thải sau xử lý được xả ra môi trường (nguồn tiếp nhận nước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98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898"/>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Nội dung đề nghị cấp phép đối với khí thải (nếu có)</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2"/>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Nguồn phát sinh khí thải: Nêu rõ từng nguồn phát sinh bụi, khí thải phải xử lý và nguồn phát sinh bụi, khí thải không phải xử lý: Nguồn số 01, Nguồn số 02,…</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81"/>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Lưu lượng xả khí thải tối đa: Nêu rõ lưu lượng xả khí thải tối đa đề nghị cấp phép</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2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Dòng khí thải: Nêu rõ số lượng dòng khí thải đề nghị cấp phép (là dòng khí thải sau xử lý được xả ra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942"/>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Vị trí, phương thức xả khí thải: Ghi rõ vị trí xả khí thải (có tọa độ địa lý), phương thức xả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Nội dung đề nghị cấp phép đối với tiếng ồn, độ rung (nếu có):</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1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Nguồn phát sinh: Nêu rõ từng nguồn phát sinh tiếng ồn, độ rung chính đề nghị cấp phép</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549"/>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Giá trị giới hạn đối với tiếng ồn, độ rung: Nêu rõ giới hạn đối với tiếng ồn, độ rung theo quy chuẩn kỹ thuật môi trường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76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lastRenderedPageBreak/>
              <w:t>V</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V. KẾT QUẢ HOẠT ĐỘNG VÀ TÌNH HÌNH THỰC HIỆN CÔNG TÁC BẢO VỆ MÔI TRƯỜNG CỦA CƠ SỞ (V=1+2+3+…+7)</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gridAfter w:val="1"/>
          <w:wAfter w:w="19" w:type="dxa"/>
          <w:trHeight w:val="1277"/>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Thông tin chung về tình hình thực hiện công tác bảo vệ môi trường: Tóm tắt tình hình tổ chức thực hiện các quy định của pháp luật về bảo vệ môi trường, yêu cầu của cơ quan có thẩm quyền mà chủ cơ sở phải thực hiện; Tóm tắt các vấn đề liên quan đến môi trường (kèm theo các văn bản báo cáo trong Phụ lục) của Chủ cơ sở đã gửi cơ quan thẩm quyền</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266"/>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Kết quả hoạt động của công trình xử lý nước thải: Trên cơ sở báo cáo công tác bảo vệ môi trường hàng năm, chủ cơ sở tổng hợp tóm tắt các thông tin về kết quả hoạt động của công trình xử lý nước thải trong 02 năm gần nhất trước thời điểm lập báo cáo đề xuất (Tổng hợp thông tin của từng năm về tổng lưu lượng nước thải phát sinh; Lập bảng tổng hợp các kết quả quan trắc nước thải định kỳ; Các sự cố đối với hệ thống xử lý nước thải, nguyên nhân, biện pháp rà soát, khắc phục; Các thời điểm thực hiện duy tu, bảo dưỡng, thay thế thiết bị; Đánh giá tổng hợp về hiệu quả, mức độ phù hợp, khả năng đáp ứng của công trình xử lý nước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84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Kết quả hoạt động của công trình xử lý bụi, khí thải: Trên cơ sở báo cáo công tác bảo vệ môi trường hàng năm, chủ cơ sở tổng hợp tóm tắt các thông tin về kết quả hoạt động của công trình xử lý khí thải trong 02 năm gần nhất trước thời điểm lập báo cáo đề xuất (Lập bảng tổng hợp các kết quả quan trắc khí thải định kỳ; Các sự cố đối với hệ thống xử lý khí thải, nguyên nhân, biện pháp rà soát, khắc phục; Các thời điểm thực hiện duy tu, bảo dưỡng, thay thế thiết bị; Đánh giá tổng hợp về hiệu quả, mức độ phù hợp, khả năng đáp ứng của công trình xử lý bụi, khí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437"/>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4</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Kết quả thu gom, xử lý chất thải (đối với cơ sở thực hiện dịch vụ xử lý chất thải)</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557"/>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5</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Kết quả nhập khẩu và sử dụng phế liệu nhập khẩu làm nguyên liệu sản xuất (đối với cơ sở </w:t>
            </w:r>
            <w:r w:rsidRPr="00133BB2">
              <w:rPr>
                <w:rFonts w:ascii="Times New Roman" w:eastAsia="Times New Roman" w:hAnsi="Times New Roman" w:cs="Times New Roman"/>
                <w:color w:val="000000"/>
                <w:sz w:val="26"/>
                <w:szCs w:val="26"/>
              </w:rPr>
              <w:lastRenderedPageBreak/>
              <w:t>sử dụng phế liệu nhập khẩu làm nguyên liệu sản xuất)</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523"/>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6</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Tình hình phát sinh, xử lý chất thải: Tổng hợp, thống kê khối lượng từng loại chất thải phát sinh, tự xử lý, chuyển giao từng năm</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609"/>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7</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Kết quả kiểm tra, thanh tra về bảo vệ môi trường đối với cơ sở: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64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VI</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VI. KẾ HOẠCH VẬN HÀNH THỬ NGHIỆM VÀ CHƯƠNG TRÌNH QUAN TRẮC MÔI TRƯỜNG CỦA CƠ SỞ (VI=1+2)</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 hoạch vận hành thử nghiệm công trình xử lý chất thải của Cơ sở:</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278"/>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Thời gian dự kiến vận hành thử nghiệm: Lập danh mục chi tiết kế hoạch vận hành thử nghiệm các công trình xử lý chất thải đã hoàn thành của Cơ sở, gồm: thời gian bắt đầu, thời gian kết thúc. Công suất dự kiến đạt được của từng hạng mục hoặc của cả Cơ sở tại thời điểm kết thúc giai đoạn vận hành thử nghiệm</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 hoạch quan trắc chất thải, đánh giá hiệu quả xử lý của các công trình, thiết bị xử lý chất thải:</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99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 hoạch chi tiết về thời gian dự kiến lấy các loại mẫu chất thải trước khi thải ra ngoài môi trường hoặc thải ra ngoài phạm vi của công trình, thiết bị xử lý</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1415"/>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Tổ chức có đủ điều kiện hoạt động dịch vụ quan trắc môi trường dự kiến phối hợp để thực hiện kế hoạch</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226"/>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lastRenderedPageBreak/>
              <w:t>2</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Chương trình quan trắc chất thải (tự động, liên tục và định kỳ) theo quy định của pháp luật</w:t>
            </w:r>
          </w:p>
        </w:tc>
        <w:tc>
          <w:tcPr>
            <w:tcW w:w="1386" w:type="dxa"/>
            <w:gridSpan w:val="2"/>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Chương trình quan trắc môi trường định kỳ:</w:t>
            </w: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278"/>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Quan trắc nước thải: vị trí, tần suất, thông số giám sát, quy chuẩn kỹ thuật áp dụng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66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Quan trắc bụi, khí thải công nghiệp: vị trí, tần suất, thông số giám sát, quy chuẩn kỹ thuật áp dụng</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7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Hoạt động quan trắc môi trường định kỳ, quan trắc môi trường tự động, liên tục khác theo quy định của pháp luật có liên quan hoặc theo đề xuất của Chủ cơ sở</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Kinh phí thực hiện quan trắc môi trường hằng năm</w:t>
            </w:r>
          </w:p>
        </w:tc>
        <w:tc>
          <w:tcPr>
            <w:tcW w:w="1340"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66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VII</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CHƯƠNG VIII. CAM KẾT CỦA CHỦ CƠ SỞ (VII = 1)</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gridAfter w:val="1"/>
          <w:wAfter w:w="19" w:type="dxa"/>
          <w:trHeight w:val="330"/>
        </w:trPr>
        <w:tc>
          <w:tcPr>
            <w:tcW w:w="607" w:type="dxa"/>
            <w:vMerge w:val="restart"/>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Nêu rõ các cam kết của chủ Cơ sở về các nội dung:</w:t>
            </w:r>
          </w:p>
        </w:tc>
        <w:tc>
          <w:tcPr>
            <w:tcW w:w="1340" w:type="dxa"/>
            <w:vMerge w:val="restart"/>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Chuyên đề</w:t>
            </w:r>
          </w:p>
        </w:tc>
        <w:tc>
          <w:tcPr>
            <w:tcW w:w="1189" w:type="dxa"/>
            <w:vMerge w:val="restart"/>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vMerge w:val="restart"/>
            <w:shd w:val="clear" w:color="auto" w:fill="auto"/>
            <w:noWrap/>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vMerge w:val="restart"/>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6"/>
        </w:trPr>
        <w:tc>
          <w:tcPr>
            <w:tcW w:w="607"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Cam kết về tính chính xác, trung thực của hồ sơ đề nghị cấp giấy phép môi trường</w:t>
            </w:r>
          </w:p>
        </w:tc>
        <w:tc>
          <w:tcPr>
            <w:tcW w:w="1340"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189"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gridSpan w:val="2"/>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r>
      <w:tr w:rsidR="00AE46D1" w:rsidRPr="00133BB2" w:rsidTr="00AE46D1">
        <w:trPr>
          <w:gridAfter w:val="1"/>
          <w:wAfter w:w="19" w:type="dxa"/>
          <w:trHeight w:val="553"/>
        </w:trPr>
        <w:tc>
          <w:tcPr>
            <w:tcW w:w="607"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Cam kết việc xử lý chất thải đáp ứng các quy chuẩn, tiêu chuẩn kỹ thuật về môi trường và các yêu cầu về bảo vệ môi trường khác có liên quan</w:t>
            </w:r>
          </w:p>
        </w:tc>
        <w:tc>
          <w:tcPr>
            <w:tcW w:w="1340"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189"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gridSpan w:val="2"/>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r>
      <w:tr w:rsidR="00AE46D1" w:rsidRPr="00133BB2" w:rsidTr="00AE46D1">
        <w:trPr>
          <w:gridAfter w:val="1"/>
          <w:wAfter w:w="19" w:type="dxa"/>
          <w:trHeight w:val="789"/>
        </w:trPr>
        <w:tc>
          <w:tcPr>
            <w:tcW w:w="607"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Cam kết thực hiện đúng, đầy đủ các quy định của Luật Bảo vệ môi trường và Nghị định số 05/2025/NĐ-CP (rà soát, liệt kê đầy đủ trách nhiệm phải thực hiện)</w:t>
            </w:r>
          </w:p>
        </w:tc>
        <w:tc>
          <w:tcPr>
            <w:tcW w:w="1340"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189" w:type="dxa"/>
            <w:vMerge/>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c>
          <w:tcPr>
            <w:tcW w:w="1386" w:type="dxa"/>
            <w:gridSpan w:val="2"/>
            <w:vMerge/>
            <w:vAlign w:val="center"/>
          </w:tcPr>
          <w:p w:rsidR="00AE46D1" w:rsidRPr="00133BB2" w:rsidRDefault="00AE46D1" w:rsidP="00CC6C23">
            <w:pPr>
              <w:spacing w:after="0" w:line="240" w:lineRule="auto"/>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B</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CHI PHÍ VIẾT, IN ẤN, NỘP BÁO CÁO VÀ CHI PHÍ THẨM ĐỊNH (B=1+2+3)</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In ấn, đóng cuốn bao gồm nộp thẩm định</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Bản</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12</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Chi phí thuê xe thẩm định</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Lần </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3</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Lệ phí thẩm định</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Lần </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4</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Chi phí đoàn kiểm tra</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 xml:space="preserve">Lần </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w:t>
            </w:r>
          </w:p>
        </w:tc>
        <w:tc>
          <w:tcPr>
            <w:tcW w:w="8856" w:type="dxa"/>
            <w:gridSpan w:val="5"/>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CHI PHÍ SAU THẨM ĐỊNH (C=1+2)</w:t>
            </w:r>
          </w:p>
        </w:tc>
        <w:tc>
          <w:tcPr>
            <w:tcW w:w="1386" w:type="dxa"/>
            <w:gridSpan w:val="2"/>
            <w:shd w:val="clear" w:color="auto" w:fill="auto"/>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Chi phí ngày công chỉnh sửa</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Ngày</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10</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gridAfter w:val="1"/>
          <w:wAfter w:w="19" w:type="dxa"/>
          <w:trHeight w:val="330"/>
        </w:trPr>
        <w:tc>
          <w:tcPr>
            <w:tcW w:w="607"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2</w:t>
            </w:r>
          </w:p>
        </w:tc>
        <w:tc>
          <w:tcPr>
            <w:tcW w:w="4922" w:type="dxa"/>
            <w:shd w:val="clear" w:color="auto" w:fill="auto"/>
            <w:vAlign w:val="center"/>
            <w:hideMark/>
          </w:tcPr>
          <w:p w:rsidR="00AE46D1" w:rsidRPr="00133BB2" w:rsidRDefault="00AE46D1" w:rsidP="00CC6C23">
            <w:pPr>
              <w:spacing w:after="0" w:line="240" w:lineRule="auto"/>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Chi phí in ấn, đóng cuốn nộp phê duyệt</w:t>
            </w:r>
          </w:p>
        </w:tc>
        <w:tc>
          <w:tcPr>
            <w:tcW w:w="1340"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Bản</w:t>
            </w:r>
          </w:p>
        </w:tc>
        <w:tc>
          <w:tcPr>
            <w:tcW w:w="1189" w:type="dxa"/>
            <w:shd w:val="clear" w:color="auto" w:fill="auto"/>
            <w:vAlign w:val="center"/>
            <w:hideMark/>
          </w:tcPr>
          <w:p w:rsidR="00AE46D1" w:rsidRPr="00133BB2" w:rsidRDefault="00AE46D1" w:rsidP="00CC6C23">
            <w:pPr>
              <w:spacing w:after="0" w:line="240" w:lineRule="auto"/>
              <w:jc w:val="center"/>
              <w:rPr>
                <w:rFonts w:ascii="Times New Roman" w:eastAsia="Times New Roman" w:hAnsi="Times New Roman" w:cs="Times New Roman"/>
                <w:color w:val="000000"/>
                <w:sz w:val="26"/>
                <w:szCs w:val="26"/>
              </w:rPr>
            </w:pPr>
            <w:r w:rsidRPr="00133BB2">
              <w:rPr>
                <w:rFonts w:ascii="Times New Roman" w:eastAsia="Times New Roman" w:hAnsi="Times New Roman" w:cs="Times New Roman"/>
                <w:color w:val="000000"/>
                <w:sz w:val="26"/>
                <w:szCs w:val="26"/>
              </w:rPr>
              <w:t>6</w:t>
            </w:r>
          </w:p>
        </w:tc>
        <w:tc>
          <w:tcPr>
            <w:tcW w:w="1386" w:type="dxa"/>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c>
          <w:tcPr>
            <w:tcW w:w="1386" w:type="dxa"/>
            <w:gridSpan w:val="2"/>
            <w:shd w:val="clear" w:color="auto" w:fill="auto"/>
            <w:vAlign w:val="center"/>
          </w:tcPr>
          <w:p w:rsidR="00AE46D1" w:rsidRPr="00133BB2" w:rsidRDefault="00AE46D1" w:rsidP="00CC6C23">
            <w:pPr>
              <w:spacing w:after="0" w:line="240" w:lineRule="auto"/>
              <w:jc w:val="right"/>
              <w:rPr>
                <w:rFonts w:ascii="Times New Roman" w:eastAsia="Times New Roman" w:hAnsi="Times New Roman" w:cs="Times New Roman"/>
                <w:color w:val="000000"/>
                <w:sz w:val="26"/>
                <w:szCs w:val="26"/>
              </w:rPr>
            </w:pPr>
          </w:p>
        </w:tc>
      </w:tr>
      <w:tr w:rsidR="00AE46D1" w:rsidRPr="00133BB2" w:rsidTr="00AE46D1">
        <w:trPr>
          <w:trHeight w:val="330"/>
        </w:trPr>
        <w:tc>
          <w:tcPr>
            <w:tcW w:w="607" w:type="dxa"/>
            <w:shd w:val="clear" w:color="auto" w:fill="auto"/>
            <w:noWrap/>
            <w:vAlign w:val="center"/>
            <w:hideMark/>
          </w:tcPr>
          <w:p w:rsidR="00AE46D1" w:rsidRPr="00133BB2" w:rsidRDefault="00AE46D1" w:rsidP="00CC6C23">
            <w:pPr>
              <w:spacing w:after="0" w:line="240" w:lineRule="auto"/>
              <w:jc w:val="center"/>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D</w:t>
            </w:r>
          </w:p>
        </w:tc>
        <w:tc>
          <w:tcPr>
            <w:tcW w:w="8856" w:type="dxa"/>
            <w:gridSpan w:val="5"/>
            <w:shd w:val="clear" w:color="auto" w:fill="auto"/>
            <w:noWrap/>
            <w:vAlign w:val="center"/>
            <w:hideMark/>
          </w:tcPr>
          <w:p w:rsidR="00AE46D1" w:rsidRPr="00133BB2" w:rsidRDefault="00AE46D1" w:rsidP="00CC6C23">
            <w:pPr>
              <w:spacing w:after="0" w:line="240" w:lineRule="auto"/>
              <w:rPr>
                <w:rFonts w:ascii="Times New Roman" w:eastAsia="Times New Roman" w:hAnsi="Times New Roman" w:cs="Times New Roman"/>
                <w:b/>
                <w:bCs/>
                <w:color w:val="000000"/>
                <w:sz w:val="26"/>
                <w:szCs w:val="26"/>
              </w:rPr>
            </w:pPr>
            <w:r w:rsidRPr="00133BB2">
              <w:rPr>
                <w:rFonts w:ascii="Times New Roman" w:eastAsia="Times New Roman" w:hAnsi="Times New Roman" w:cs="Times New Roman"/>
                <w:b/>
                <w:bCs/>
                <w:color w:val="000000"/>
                <w:sz w:val="26"/>
                <w:szCs w:val="26"/>
              </w:rPr>
              <w:t>TỔNG CHI PHÍ (D=A+B+C)</w:t>
            </w:r>
          </w:p>
        </w:tc>
        <w:tc>
          <w:tcPr>
            <w:tcW w:w="1386" w:type="dxa"/>
            <w:gridSpan w:val="2"/>
            <w:shd w:val="clear" w:color="auto" w:fill="auto"/>
            <w:noWrap/>
            <w:vAlign w:val="center"/>
            <w:hideMark/>
          </w:tcPr>
          <w:p w:rsidR="00AE46D1" w:rsidRPr="00133BB2" w:rsidRDefault="00AE46D1" w:rsidP="00CC6C23">
            <w:pPr>
              <w:spacing w:after="0" w:line="240" w:lineRule="auto"/>
              <w:jc w:val="right"/>
              <w:rPr>
                <w:rFonts w:ascii="Times New Roman" w:eastAsia="Times New Roman" w:hAnsi="Times New Roman" w:cs="Times New Roman"/>
                <w:b/>
                <w:bCs/>
                <w:color w:val="000000"/>
                <w:sz w:val="26"/>
                <w:szCs w:val="26"/>
              </w:rPr>
            </w:pPr>
          </w:p>
        </w:tc>
      </w:tr>
      <w:tr w:rsidR="00AE46D1" w:rsidRPr="00133BB2" w:rsidTr="00AE46D1">
        <w:trPr>
          <w:trHeight w:val="330"/>
        </w:trPr>
        <w:tc>
          <w:tcPr>
            <w:tcW w:w="10849" w:type="dxa"/>
            <w:gridSpan w:val="8"/>
            <w:shd w:val="clear" w:color="auto" w:fill="auto"/>
            <w:noWrap/>
            <w:vAlign w:val="center"/>
            <w:hideMark/>
          </w:tcPr>
          <w:p w:rsidR="00AE46D1" w:rsidRPr="00133BB2" w:rsidRDefault="00AE46D1" w:rsidP="00AE46D1">
            <w:pPr>
              <w:spacing w:after="0" w:line="240" w:lineRule="auto"/>
              <w:rPr>
                <w:rFonts w:ascii="Times New Roman" w:eastAsia="Times New Roman" w:hAnsi="Times New Roman" w:cs="Times New Roman"/>
                <w:i/>
                <w:iCs/>
                <w:color w:val="000000"/>
                <w:sz w:val="26"/>
                <w:szCs w:val="26"/>
              </w:rPr>
            </w:pPr>
            <w:r w:rsidRPr="00133BB2">
              <w:rPr>
                <w:rFonts w:ascii="Times New Roman" w:eastAsia="Times New Roman" w:hAnsi="Times New Roman" w:cs="Times New Roman"/>
                <w:bCs/>
                <w:i/>
                <w:iCs/>
                <w:color w:val="000000"/>
                <w:sz w:val="26"/>
                <w:szCs w:val="26"/>
              </w:rPr>
              <w:t xml:space="preserve">Bằng chữ: </w:t>
            </w:r>
          </w:p>
        </w:tc>
      </w:tr>
    </w:tbl>
    <w:p w:rsidR="00AE46D1" w:rsidRDefault="00AE46D1">
      <w:pPr>
        <w:rPr>
          <w:rFonts w:ascii="Times New Roman" w:hAnsi="Times New Roman"/>
          <w:i/>
          <w:sz w:val="26"/>
          <w:szCs w:val="26"/>
        </w:rPr>
      </w:pPr>
    </w:p>
    <w:p w:rsidR="00AD3090" w:rsidRDefault="00AD3090" w:rsidP="00AD3090">
      <w:pPr>
        <w:keepNext/>
        <w:spacing w:after="0" w:line="240" w:lineRule="auto"/>
        <w:jc w:val="center"/>
        <w:rPr>
          <w:rFonts w:ascii="Times New Roman" w:hAnsi="Times New Roman"/>
          <w:b/>
          <w:sz w:val="28"/>
          <w:szCs w:val="28"/>
        </w:rPr>
      </w:pPr>
    </w:p>
    <w:p w:rsidR="00D245FB" w:rsidRDefault="00D245FB">
      <w:bookmarkStart w:id="0" w:name="_GoBack"/>
      <w:bookmarkEnd w:id="0"/>
    </w:p>
    <w:sectPr w:rsidR="00D245FB" w:rsidSect="002D7BC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FB"/>
    <w:rsid w:val="002D7BCD"/>
    <w:rsid w:val="003906F1"/>
    <w:rsid w:val="00511018"/>
    <w:rsid w:val="00514CBD"/>
    <w:rsid w:val="006569AF"/>
    <w:rsid w:val="00681BB6"/>
    <w:rsid w:val="006C31E0"/>
    <w:rsid w:val="00AD3090"/>
    <w:rsid w:val="00AE46D1"/>
    <w:rsid w:val="00C65A66"/>
    <w:rsid w:val="00D245FB"/>
    <w:rsid w:val="00EE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69B9"/>
  <w15:chartTrackingRefBased/>
  <w15:docId w15:val="{792C31BC-4066-46FD-9C05-C20FCEF5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2025-04-29T09:43:00Z</cp:lastPrinted>
  <dcterms:created xsi:type="dcterms:W3CDTF">2025-04-29T09:33:00Z</dcterms:created>
  <dcterms:modified xsi:type="dcterms:W3CDTF">2025-05-14T01:52:00Z</dcterms:modified>
</cp:coreProperties>
</file>